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101.png" ContentType="image/png"/>
  <Override PartName="/word/media/rId100.png" ContentType="image/png"/>
  <Override PartName="/word/media/rId97.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28</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w:t>
      </w:r>
      <w:r>
        <w:rPr>
          <w:bCs/>
          <w:b/>
        </w:rPr>
        <w:t xml:space="preserve">Atlas2021?</w:t>
      </w:r>
      <w:r>
        <w:t xml:space="preserve">;</w:t>
      </w:r>
      <w:r>
        <w:t xml:space="preserve"> </w:t>
      </w:r>
      <w:r>
        <w:rPr>
          <w:bCs/>
          <w:b/>
        </w:rPr>
        <w:t xml:space="preserve">Lewis2019?</w:t>
      </w:r>
      <w:r>
        <w:t xml:space="preserve">)</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w:t>
      </w:r>
      <w:r>
        <w:t xml:space="preserve"> </w:t>
      </w:r>
      <w:r>
        <w:rPr>
          <w:bCs/>
          <w:b/>
        </w:rPr>
        <w:t xml:space="preserve">Crozier2020?</w:t>
      </w:r>
      <w:r>
        <w:t xml:space="preserve">;</w:t>
      </w:r>
      <w:r>
        <w:t xml:space="preserve"> </w:t>
      </w:r>
      <w:r>
        <w:rPr>
          <w:bCs/>
          <w:b/>
        </w:rPr>
        <w:t xml:space="preserve">Clark2020?</w:t>
      </w:r>
      <w:r>
        <w:t xml:space="preserve">)</w:t>
      </w:r>
      <w:r>
        <w:t xml:space="preserve">. Consequently, action agencies have made considerable investments in the rehabilitation of tributary ecosystems and evaluation of factors attributed to the species decline</w:t>
      </w:r>
      <w:r>
        <w:t xml:space="preserve"> </w:t>
      </w:r>
      <w:r>
        <w:t xml:space="preserve">(Roni et al. 2018;</w:t>
      </w:r>
      <w:r>
        <w:t xml:space="preserve"> </w:t>
      </w:r>
      <w:r>
        <w:rPr>
          <w:bCs/>
          <w:b/>
        </w:rPr>
        <w:t xml:space="preserve">White2021?</w:t>
      </w:r>
      <w:r>
        <w:t xml:space="preserve">)</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determine responses to restoration actions</w:t>
      </w:r>
      <w:r>
        <w:t xml:space="preserve"> </w:t>
      </w:r>
      <w:r>
        <w:t xml:space="preserve">(</w:t>
      </w:r>
      <w:r>
        <w:rPr>
          <w:bCs/>
          <w:b/>
        </w:rPr>
        <w:t xml:space="preserve">Zimmerman2012?</w:t>
      </w:r>
      <w:r>
        <w:t xml:space="preserve">)</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w:t>
      </w:r>
      <w:r>
        <w:rPr>
          <w:bCs/>
          <w:b/>
        </w:rPr>
        <w:t xml:space="preserve">Dodson2013?</w:t>
      </w:r>
      <w:r>
        <w:t xml:space="preserve">)</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w:t>
      </w:r>
    </w:p>
    <w:p>
      <w:pPr>
        <w:numPr>
          <w:ilvl w:val="0"/>
          <w:numId w:val="1001"/>
        </w:numPr>
        <w:pStyle w:val="Compact"/>
      </w:pPr>
      <w:r>
        <w:t xml:space="preserve">Estimate the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impacts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juvenile DSR and NRR emigrations. During our initial survey in 2019, Northern Pikeminnow were by far the most prevalent piscine predator in Deadwater Slough and consequently became our focal taxa. Northern Pikeminnow were surveyed near the peaks of the fall DSR and spring NRR emigrations.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Fall surveys occurred over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w:t>
      </w:r>
      <w:r>
        <w:t xml:space="preserve"> </w:t>
      </w:r>
      <w:r>
        <w:t xml:space="preserve">After evaluating all methods, angling was the most effective method for capturing Northern Pikeminnow while also minimizing potential impacts to ESA-listed adult steelhead that were present in the Salmon River during our surveys.</w:t>
      </w:r>
      <w:r>
        <w:t xml:space="preserve"> </w:t>
      </w:r>
      <w:r>
        <w:t xml:space="preserve">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number of Northern Pikeminnow caught per angler hour.</w:t>
      </w:r>
    </w:p>
    <w:p>
      <w:pPr>
        <w:pStyle w:val="BodyText"/>
      </w:pPr>
      <w:r>
        <w:t xml:space="preserve">Two types of mark-recapture estimators were used to explore variation in abundance estimates: a single census and a multiple census estimator. Estimators fell into two broad categories: single census and multiple census. For the single census estimator, we treated the first week of the survey as the mark event and the following week as the recapture event, pooling data within each event week. Alternatively, the multiple census estimator treated each day as an event and use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locales, marked fish may have been less susceptible to capture. To account for this potential bias, we adjusted the Schnabel estimator with an assumption that marked and released fish during each survey day were not available for recapture for 48 hours.</w:t>
      </w:r>
    </w:p>
    <w:p>
      <w:pPr>
        <w:pStyle w:val="BodyText"/>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average abundance from the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or were categorized as unknown</w:t>
      </w:r>
      <w:r>
        <w:t xml:space="preserve"> </w:t>
      </w:r>
      <w:r>
        <w:t xml:space="preserve">(Hansel et al. 1988; Frost 2000)</w:t>
      </w:r>
      <w:r>
        <w:t xml:space="preserve">.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4</w:t>
      </w:r>
      <w:r>
        <w:t xml:space="preserve">). Similarly, we estimated an average-size (393.7 mm) Northern Pikeminnow to consume 44.29 g (range: 22.39 - 49.74 g) of fish during the NRR emigration (Figure</w:t>
      </w:r>
      <w:r>
        <w:t xml:space="preserve"> </w:t>
      </w:r>
      <w:r>
        <w:t xml:space="preserve">4</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27,874 and during the spring 2021 to be 14,799. Those estimates translate to linear densities of 14,898 and 7,909</w:t>
      </w:r>
      <w:r>
        <w:t xml:space="preserve"> </w:t>
      </w:r>
      <w:r>
        <w:t xml:space="preserve"> </w:t>
      </w:r>
      <w:r>
        <w:t xml:space="preserve">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captured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and possibly biasing them low.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p>
    <w:p>
      <w:pPr>
        <w:pStyle w:val="BodyText"/>
      </w:pP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 We calculated this for the Schnabel estimator by assuming that only 70% of the fish marked each sample were returned to the populuation and available for recapture.</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r>
        <w:t xml:space="preserve"> </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r>
        <w:t xml:space="preserve"> </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hatchery populations which provide recreational fishing opportunities. Consequently, reducing predation mortality at Deadwater Slough could potentially benefit multiple upriver natural and hatchery populations, including multiple ESA-listed species. Because the Deadwater Slough is part of the migratory pathway for multiple species and populations of emigrating salmonids,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w:t>
      </w:r>
      <w:r>
        <w:rPr>
          <w:iCs/>
          <w:i/>
        </w:rPr>
        <w:t xml:space="preserve">citation</w:t>
      </w:r>
      <w:r>
        <w:t xml:space="preserve">).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years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of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3" w:name="literature-cited"/>
    <w:p>
      <w:pPr>
        <w:pStyle w:val="Heading1"/>
      </w:pPr>
      <w:r>
        <w:t xml:space="preserve">Literature Cited</w:t>
      </w:r>
    </w:p>
    <w:bookmarkStart w:id="92"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4"/>
    <w:bookmarkStart w:id="65" w:name="ref-Kamler2001"/>
    <w:p>
      <w:pPr>
        <w:pStyle w:val="Bibliography"/>
      </w:pPr>
      <w:r>
        <w:t xml:space="preserve">Kamler, J. F., and K. L. Pope. 2001. Nonlethal methods of examining fish stomach contents. Reviews in Fisheries Science 9(1):1–11.</w:t>
      </w:r>
    </w:p>
    <w:bookmarkEnd w:id="65"/>
    <w:bookmarkStart w:id="66"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6"/>
    <w:bookmarkStart w:id="67"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7"/>
    <w:bookmarkStart w:id="68"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68"/>
    <w:bookmarkStart w:id="69"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9"/>
    <w:bookmarkStart w:id="70"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0"/>
    <w:bookmarkStart w:id="71"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1"/>
    <w:bookmarkStart w:id="72"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2"/>
    <w:bookmarkStart w:id="7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3"/>
    <w:bookmarkStart w:id="74"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4"/>
    <w:bookmarkStart w:id="7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5"/>
    <w:bookmarkStart w:id="7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6"/>
    <w:bookmarkStart w:id="77"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7"/>
    <w:bookmarkStart w:id="7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8"/>
    <w:bookmarkStart w:id="7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9"/>
    <w:bookmarkStart w:id="8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0"/>
    <w:bookmarkStart w:id="8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1"/>
    <w:bookmarkStart w:id="8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2"/>
    <w:bookmarkStart w:id="8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3"/>
    <w:bookmarkStart w:id="8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4"/>
    <w:bookmarkStart w:id="8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5"/>
    <w:bookmarkStart w:id="8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6"/>
    <w:bookmarkStart w:id="87"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7"/>
    <w:bookmarkStart w:id="88"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8"/>
    <w:bookmarkStart w:id="89"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9"/>
    <w:bookmarkStart w:id="90"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0"/>
    <w:bookmarkStart w:id="91"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1"/>
    <w:bookmarkEnd w:id="92"/>
    <w:p>
      <w:r>
        <w:br w:type="page"/>
      </w:r>
    </w:p>
    <w:bookmarkEnd w:id="93"/>
    <w:bookmarkStart w:id="95" w:name="tables"/>
    <w:p>
      <w:pPr>
        <w:pStyle w:val="Heading1"/>
      </w:pPr>
      <w:r>
        <w:t xml:space="preserve">Tables</w:t>
      </w:r>
    </w:p>
    <w:bookmarkStart w:id="94" w:name="tables"/>
    <w:bookmarkEnd w:id="94"/>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95"/>
    <w:bookmarkStart w:id="103" w:name="figures"/>
    <w:p>
      <w:pPr>
        <w:pStyle w:val="Heading1"/>
      </w:pPr>
      <w:r>
        <w:t xml:space="preserve">Figures</w:t>
      </w:r>
    </w:p>
    <w:bookmarkStart w:id="96" w:name="figures"/>
    <w:bookmarkEnd w:id="96"/>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7"/>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Cumulative amount of fish (g) consumed by an individual Northern Pikeminnow during the peak DSR (fall) and NRR (spring) Chinook Salmon emigrations (top panel) and corresponding daily mean water temperatures (bottom panel). The black line indicates the diet scenario comprised of 50% fish prey and the gray area indicates the range among diet scenarios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Cumulative amount of fish (g) consumed by an individual Northern Pikeminnow during the peak DSR (fall) and NRR (spring) Chinook Salmon emigrations (top panel) and corresponding daily mean water temperatures (bottom panel). The black line indicates the diet scenario comprised of 50% fish prey and the gray area indicates the range among diet scenarios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2" w:name="colophon"/>
    <w:p>
      <w:pPr>
        <w:pStyle w:val="Heading3"/>
      </w:pPr>
      <w:r>
        <w:t xml:space="preserve">Colophon</w:t>
      </w:r>
    </w:p>
    <w:p>
      <w:pPr>
        <w:pStyle w:val="FirstParagraph"/>
      </w:pPr>
      <w:r>
        <w:t xml:space="preserve">This report was generated on 2022-01-28 18:02:36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2022-01-28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[99cdd06] 2022-01-29: started incorporating TBs awesome edits</w:t>
      </w:r>
    </w:p>
    <w:bookmarkEnd w:id="102"/>
    <w:bookmarkEnd w:id="10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2022-01-29T01:02:40Z</dcterms:created>
  <dcterms:modified xsi:type="dcterms:W3CDTF">2022-01-29T01:02:40Z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28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